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rsidR="00577048">
        <w:t>’10 entradas generales Magdalena en Vivo 2026’</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de </w:t>
      </w:r>
      <w:r w:rsidR="00577048">
        <w:t>diez entradas generales dobles para el concierto solidario de Magdalena en Vivo 2026</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w:t>
      </w:r>
      <w:r w:rsidR="00577048">
        <w:t>diez entradas generales dobles para el concierto solidario de Magdalena en Vivo 2026</w:t>
      </w:r>
      <w:r>
        <w:t>.</w:t>
      </w:r>
      <w:r w:rsidR="00F35468">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dos amigos </w:t>
      </w:r>
    </w:p>
    <w:p w:rsidR="008B264C" w:rsidRDefault="008B264C">
      <w:pPr>
        <w:pStyle w:val="Prrafodelista"/>
        <w:sectPr w:rsidR="008B264C">
          <w:type w:val="continuous"/>
          <w:pgSz w:w="11900" w:h="16840"/>
          <w:pgMar w:top="1580" w:right="1559" w:bottom="280" w:left="1559" w:header="720" w:footer="720" w:gutter="0"/>
          <w:cols w:space="720"/>
        </w:sectPr>
      </w:pPr>
    </w:p>
    <w:p w:rsidR="00577048" w:rsidRDefault="00000000" w:rsidP="00577048">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577048">
        <w:t xml:space="preserve">diez entradas generales dobles para el concierto solidario de Magdalena en Vivo 2026 </w:t>
      </w:r>
    </w:p>
    <w:p w:rsidR="008B264C" w:rsidRDefault="00000000" w:rsidP="00577048">
      <w:pPr>
        <w:pStyle w:val="Textoindependiente"/>
        <w:spacing w:before="83" w:line="256"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577048">
        <w:t>11 al 25 de mayo</w:t>
      </w:r>
      <w:r w:rsidR="00F66E61">
        <w:t xml:space="preserv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577048" w:rsidRDefault="00000000" w:rsidP="00577048">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66E61">
        <w:rPr>
          <w:spacing w:val="-2"/>
        </w:rPr>
        <w:t xml:space="preserve">n </w:t>
      </w:r>
      <w:r w:rsidR="00577048">
        <w:t xml:space="preserve">diez entradas generales dobles para el concierto solidario de Magdalena en Vivo 2026 </w:t>
      </w:r>
    </w:p>
    <w:p w:rsidR="008B264C" w:rsidRPr="00577048" w:rsidRDefault="00000000" w:rsidP="00577048">
      <w:pPr>
        <w:pStyle w:val="Textoindependiente"/>
        <w:spacing w:before="163"/>
        <w:jc w:val="left"/>
        <w:rPr>
          <w:b/>
          <w:bCs/>
        </w:rPr>
      </w:pPr>
      <w:r w:rsidRPr="00577048">
        <w:rPr>
          <w:b/>
          <w:bCs/>
          <w:spacing w:val="-2"/>
        </w:rPr>
        <w:t>CUARTA.</w:t>
      </w:r>
      <w:r w:rsidRPr="00577048">
        <w:rPr>
          <w:b/>
          <w:bCs/>
          <w:spacing w:val="1"/>
        </w:rPr>
        <w:t xml:space="preserve"> </w:t>
      </w:r>
      <w:r w:rsidRPr="00577048">
        <w:rPr>
          <w:b/>
          <w:bCs/>
          <w:spacing w:val="-2"/>
        </w:rPr>
        <w:t>CELEBRACIÓN</w:t>
      </w:r>
      <w:r w:rsidRPr="00577048">
        <w:rPr>
          <w:b/>
          <w:bCs/>
          <w:spacing w:val="1"/>
        </w:rPr>
        <w:t xml:space="preserve"> </w:t>
      </w:r>
      <w:r w:rsidRPr="00577048">
        <w:rPr>
          <w:b/>
          <w:bCs/>
          <w:spacing w:val="-2"/>
        </w:rPr>
        <w:t>DEL</w:t>
      </w:r>
      <w:r w:rsidRPr="00577048">
        <w:rPr>
          <w:b/>
          <w:bCs/>
          <w:spacing w:val="1"/>
        </w:rPr>
        <w:t xml:space="preserve"> </w:t>
      </w:r>
      <w:r w:rsidRPr="00577048">
        <w:rPr>
          <w:b/>
          <w:bCs/>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577048">
        <w:t xml:space="preserve">25 de </w:t>
      </w:r>
      <w:proofErr w:type="spellStart"/>
      <w:r w:rsidR="00577048">
        <w:t>mayo</w:t>
      </w:r>
      <w:r>
        <w:t>desde</w:t>
      </w:r>
      <w:proofErr w:type="spellEnd"/>
      <w:r>
        <w:t xml:space="preserv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577048">
        <w:t>29 de mayo</w:t>
      </w:r>
      <w:r w:rsidR="00F66E61">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17630D"/>
    <w:rsid w:val="00577048"/>
    <w:rsid w:val="008B264C"/>
    <w:rsid w:val="00A15079"/>
    <w:rsid w:val="00F35468"/>
    <w:rsid w:val="00F66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5A8ED1E"/>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1121</Words>
  <Characters>6167</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6</cp:revision>
  <dcterms:created xsi:type="dcterms:W3CDTF">2025-11-18T12:54:00Z</dcterms:created>
  <dcterms:modified xsi:type="dcterms:W3CDTF">2026-05-11T16:13:00Z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